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76E32" w14:textId="77616A44" w:rsidR="00DB4350" w:rsidRDefault="00DB4350" w:rsidP="00DB4350">
      <w:pPr>
        <w:pStyle w:val="Heading5"/>
      </w:pPr>
      <w:bookmarkStart w:id="0" w:name="_Toc347760911"/>
      <w:bookmarkStart w:id="1" w:name="_GoBack"/>
      <w:bookmarkEnd w:id="1"/>
      <w:r>
        <w:t>3.2.4</w:t>
      </w:r>
      <w:r>
        <w:tab/>
        <w:t>Preliminary Official Statement and Official Statement</w:t>
      </w:r>
      <w:bookmarkEnd w:id="0"/>
    </w:p>
    <w:p w14:paraId="52C76E34" w14:textId="3B87FEB6" w:rsidR="0034726A" w:rsidRDefault="0034726A" w:rsidP="0034726A">
      <w:pPr>
        <w:jc w:val="both"/>
      </w:pPr>
      <w:r w:rsidRPr="00DC285A">
        <w:t xml:space="preserve">The </w:t>
      </w:r>
      <w:r>
        <w:t>Preliminary Official Statement and Official Statement</w:t>
      </w:r>
      <w:r w:rsidRPr="00DC285A">
        <w:t xml:space="preserve"> should include the following provisions:</w:t>
      </w:r>
    </w:p>
    <w:p w14:paraId="52C76E35" w14:textId="77777777" w:rsidR="00737FBD" w:rsidRDefault="00014916" w:rsidP="00E01C14">
      <w:pPr>
        <w:jc w:val="both"/>
      </w:pPr>
      <w:r w:rsidRPr="00085483">
        <w:rPr>
          <w:i/>
        </w:rPr>
        <w:t>Paying Agent</w:t>
      </w:r>
      <w:r>
        <w:t>.</w:t>
      </w:r>
      <w:r w:rsidRPr="00D04EE5">
        <w:t xml:space="preserve"> </w:t>
      </w:r>
      <w:r>
        <w:t xml:space="preserve"> “</w:t>
      </w:r>
      <w:r w:rsidRPr="00D04EE5">
        <w:t>The Treasurer-Tax Collector of the County will act as the initial registrar, transfer agent, authentication agent and paying agent for the…  Bonds (the “Paying Agent”).  As long as DTC is the registered owner of the Bonds and DTC’s book-entry method is used for the Bonds, the Paying Agent will send any notice of prepayment or other notices to owners only to DTC</w:t>
      </w:r>
      <w:r>
        <w:t>…</w:t>
      </w:r>
      <w:r w:rsidRPr="00D04EE5">
        <w:t>The Paying Agent, the District, the County and the Underwriter of the… Bonds have no responsibility or liability for any aspects of the records relating to or payments made on account of beneficial ownership, or for maintaining, supervising or reviewing any records relating to beneficial ownership, or interest in the Bonds.</w:t>
      </w:r>
      <w:r>
        <w:t>”</w:t>
      </w:r>
    </w:p>
    <w:p w14:paraId="52C76E36" w14:textId="77777777" w:rsidR="00737FBD" w:rsidRDefault="00014916" w:rsidP="00E01C14">
      <w:pPr>
        <w:jc w:val="both"/>
      </w:pPr>
      <w:r w:rsidRPr="00085483">
        <w:rPr>
          <w:i/>
        </w:rPr>
        <w:t>Registration, Transfer and Exchange of… Bonds</w:t>
      </w:r>
      <w:r>
        <w:t>.</w:t>
      </w:r>
      <w:r w:rsidRPr="00D04EE5">
        <w:t xml:space="preserve">  </w:t>
      </w:r>
      <w:r>
        <w:t>“</w:t>
      </w:r>
      <w:r w:rsidRPr="00D04EE5">
        <w:t>Any Bond may be exchanged for Bonds of like tenor, maturity and principal amount upon presentation and surrender at the principal corporate trust office of the Paying Agent, together with a request for exchange signed by the owner or by a person legally empowered to do so in a form satisfactory to the Paying Agent.</w:t>
      </w:r>
      <w:r>
        <w:t>”</w:t>
      </w:r>
    </w:p>
    <w:p w14:paraId="52C76E37" w14:textId="717274D0" w:rsidR="00737FBD" w:rsidRDefault="00014916" w:rsidP="00E01C14">
      <w:pPr>
        <w:jc w:val="both"/>
      </w:pPr>
      <w:r w:rsidRPr="00D04EE5">
        <w:t>County of San Diego County Investment Pool general information and portfolio st</w:t>
      </w:r>
      <w:r w:rsidR="00F11AC0">
        <w:t xml:space="preserve">atistics can be found at </w:t>
      </w:r>
      <w:r w:rsidR="00F11AC0" w:rsidRPr="00F11AC0">
        <w:t>http://www.sdttc.com/content/ttc/en/treasury/financial-reports.html</w:t>
      </w:r>
      <w:r>
        <w:t xml:space="preserve">. </w:t>
      </w:r>
    </w:p>
    <w:p w14:paraId="52C76E38" w14:textId="77777777" w:rsidR="00737FBD" w:rsidRDefault="00014916" w:rsidP="00E01C14">
      <w:pPr>
        <w:ind w:left="360"/>
        <w:jc w:val="both"/>
      </w:pPr>
      <w:r>
        <w:t>“</w:t>
      </w:r>
      <w:r w:rsidRPr="00D04EE5">
        <w:t xml:space="preserve">SAN DIEGO COUNTY INVESTMENT POOL </w:t>
      </w:r>
    </w:p>
    <w:p w14:paraId="52C76E39" w14:textId="77777777" w:rsidR="00737FBD" w:rsidRDefault="00014916" w:rsidP="00E01C14">
      <w:pPr>
        <w:ind w:left="360"/>
        <w:jc w:val="both"/>
      </w:pPr>
      <w:r w:rsidRPr="00D04EE5">
        <w:t>The following information concerning the Treasury Pool of San Diego County (the “Treasury Pool”) has been provided by the Treasurer and has not been confirmed or verified by the District or the Underwriters.  No representation is made herein as to the accuracy or adequacy of such information or as to the absence of material adverse changes in such information subsequent to the date hereof, or that the information contained or incorporated hereby by reference is correct as of any time subsequent to its date.</w:t>
      </w:r>
    </w:p>
    <w:p w14:paraId="52C76E3A" w14:textId="77777777" w:rsidR="00737FBD" w:rsidRDefault="00014916" w:rsidP="00E01C14">
      <w:pPr>
        <w:ind w:left="360"/>
        <w:jc w:val="both"/>
      </w:pPr>
      <w:r w:rsidRPr="00D04EE5">
        <w:t>In accordance with Government Code Section 53600 et seq., the Treasurer manages funds deposited with it by the District.  The County is required to invest such funds in accordance with California Government Code Sections 53635 et seq.  In addition, counties are required to establish their own investment policies which may impose limitations beyond those required by the Government Code.</w:t>
      </w:r>
    </w:p>
    <w:p w14:paraId="52C76E3B" w14:textId="77777777" w:rsidR="00737FBD" w:rsidRDefault="00014916" w:rsidP="00E01C14">
      <w:pPr>
        <w:ind w:left="360"/>
        <w:jc w:val="both"/>
      </w:pPr>
      <w:r w:rsidRPr="00D04EE5">
        <w:t>All investments in the Treasurer’s investment portfolio conform to the statutory requirements of Government Code Section 53635 et seq., authorities delegated by the County Board of Supervisors and the Treasurer’s investment policy.</w:t>
      </w:r>
    </w:p>
    <w:p w14:paraId="52C76E3C" w14:textId="77777777" w:rsidR="00737FBD" w:rsidRDefault="00014916" w:rsidP="00E01C14">
      <w:pPr>
        <w:ind w:left="360"/>
        <w:jc w:val="both"/>
        <w:rPr>
          <w:b/>
        </w:rPr>
      </w:pPr>
      <w:r w:rsidRPr="00D04EE5">
        <w:rPr>
          <w:b/>
        </w:rPr>
        <w:t>General</w:t>
      </w:r>
    </w:p>
    <w:p w14:paraId="52C76E3D" w14:textId="0AD55615" w:rsidR="00737FBD" w:rsidRDefault="00014916" w:rsidP="00E01C14">
      <w:pPr>
        <w:ind w:left="360"/>
        <w:jc w:val="both"/>
      </w:pPr>
      <w:r w:rsidRPr="00D04EE5">
        <w:t xml:space="preserve">Pursuant to a resolution adopted July 8, 1958, the Board of Supervisors delegated to the County Treasurer the authority to invest and reinvest funds of the County. Applicable law limits this delegation of authority to a one-year period and must be renewed annually by action of the Board of Supervisors. In addition to funds of the County funds of certain local agencies within the County, including school </w:t>
      </w:r>
      <w:r w:rsidRPr="00D04EE5">
        <w:lastRenderedPageBreak/>
        <w:t xml:space="preserve">districts in the County, are required under state law to be deposited into County Treasury ("Involuntary Depositors"). In addition, certain agencies, </w:t>
      </w:r>
      <w:r w:rsidR="005E27B9">
        <w:t>such as cities and special districts</w:t>
      </w:r>
      <w:r w:rsidRPr="00D04EE5">
        <w:t>, invest certain of their funds in the County Treasury on a voluntary basis ("Voluntary Depositors" and together with the Involuntary Depositors, the "Depositors"). Deposits made by the County and the various local agencies are commingled in a pooled investment fund (the "Treasury Pool" or the "Pool"). No particular deposits are segregated for separate investment.</w:t>
      </w:r>
    </w:p>
    <w:p w14:paraId="52C76E3E" w14:textId="4AB2E49D" w:rsidR="00737FBD" w:rsidRDefault="00014916" w:rsidP="00E01C14">
      <w:pPr>
        <w:ind w:left="360"/>
        <w:jc w:val="both"/>
      </w:pPr>
      <w:r w:rsidRPr="00D04EE5">
        <w:t>Under State law, Depositors in the Pool are permitted to withdraw funds which they have deposited on 30 days</w:t>
      </w:r>
      <w:r w:rsidR="005E27B9">
        <w:t>’</w:t>
      </w:r>
      <w:r w:rsidRPr="00D04EE5">
        <w:t xml:space="preserve"> notice. The County does not expect that the Pool will encounter liquidity shortfalls based on its current portfolio and investment guidelines or realize any losses that may be required to be allocated among all Depositors in the Pool.</w:t>
      </w:r>
    </w:p>
    <w:p w14:paraId="52C76E3F" w14:textId="28639421" w:rsidR="00737FBD" w:rsidRDefault="00014916" w:rsidP="00E01C14">
      <w:pPr>
        <w:ind w:left="360"/>
        <w:jc w:val="both"/>
      </w:pPr>
      <w:r w:rsidRPr="00D04EE5">
        <w:t>The County has established an Oversight Committee pursuant to State law.  The members of the Oversight Committee include the County Treasurer, the County Auditor</w:t>
      </w:r>
      <w:r w:rsidR="001D2262">
        <w:t>–Controller</w:t>
      </w:r>
      <w:r w:rsidRPr="00D04EE5">
        <w:t>,</w:t>
      </w:r>
      <w:r w:rsidR="001D2262">
        <w:t xml:space="preserve"> </w:t>
      </w:r>
      <w:r w:rsidRPr="00D04EE5">
        <w:t xml:space="preserve">the County Superintendent of Schools or designee, a representative from </w:t>
      </w:r>
      <w:r w:rsidR="00342F4C">
        <w:t xml:space="preserve">the </w:t>
      </w:r>
      <w:r w:rsidRPr="00D04EE5">
        <w:t xml:space="preserve">special districts, a representative from </w:t>
      </w:r>
      <w:r w:rsidR="00342F4C">
        <w:t xml:space="preserve">the </w:t>
      </w:r>
      <w:r w:rsidRPr="00D04EE5">
        <w:t>school districts and community college districts in the County, and members of the public.  The role of the Oversight Committee is to review and approve the Investment Policy that is prepared by the County Treasurer.</w:t>
      </w:r>
    </w:p>
    <w:p w14:paraId="52C76E40" w14:textId="77777777" w:rsidR="00737FBD" w:rsidRDefault="00014916" w:rsidP="00E01C14">
      <w:pPr>
        <w:ind w:left="360"/>
        <w:jc w:val="both"/>
        <w:rPr>
          <w:b/>
        </w:rPr>
      </w:pPr>
      <w:r w:rsidRPr="00D04EE5">
        <w:rPr>
          <w:b/>
        </w:rPr>
        <w:t>The Treasury Pool's Portfolio</w:t>
      </w:r>
    </w:p>
    <w:p w14:paraId="52C76E41" w14:textId="69B1D7F6" w:rsidR="00737FBD" w:rsidRDefault="00014916" w:rsidP="00E01C14">
      <w:pPr>
        <w:ind w:left="360"/>
        <w:jc w:val="both"/>
      </w:pPr>
      <w:r w:rsidRPr="00D04EE5">
        <w:t>As of [date], the securities in the Treasury Pool had a market value of $</w:t>
      </w:r>
      <w:r w:rsidR="00A1411B">
        <w:t>__</w:t>
      </w:r>
      <w:r w:rsidRPr="00D04EE5">
        <w:t xml:space="preserve"> and a book value of $</w:t>
      </w:r>
      <w:r w:rsidR="00A1411B">
        <w:t>__</w:t>
      </w:r>
      <w:r w:rsidRPr="00D04EE5">
        <w:t>, for a net unrealized gain/loss of $</w:t>
      </w:r>
      <w:r w:rsidR="00A1411B">
        <w:t>__</w:t>
      </w:r>
      <w:r w:rsidRPr="00D04EE5">
        <w:t xml:space="preserve"> of the book value of the Treasury Pool.</w:t>
      </w:r>
    </w:p>
    <w:p w14:paraId="52C76E42" w14:textId="29776CA7" w:rsidR="00737FBD" w:rsidRDefault="00014916" w:rsidP="00E01C14">
      <w:pPr>
        <w:ind w:left="360"/>
        <w:jc w:val="both"/>
      </w:pPr>
      <w:r w:rsidRPr="00D04EE5">
        <w:t xml:space="preserve">The effective duration for the Treasury Pool was </w:t>
      </w:r>
      <w:r w:rsidR="00A1411B">
        <w:t>__</w:t>
      </w:r>
      <w:r w:rsidRPr="00D04EE5">
        <w:t xml:space="preserve"> years as of [date]. "Duration" is a measure of the price volatility of the portfolio and reflects an estimate of the projected increase or decrease in the value of the portfolio based upon a decrease or increase in interest rates. A duration of </w:t>
      </w:r>
      <w:r w:rsidR="00A1411B">
        <w:t>__</w:t>
      </w:r>
      <w:r w:rsidRPr="00D04EE5">
        <w:t xml:space="preserve"> means that for every one percent increase in interest rates the market value of the portfolio would decrease by </w:t>
      </w:r>
      <w:r w:rsidR="00A1411B">
        <w:t>__</w:t>
      </w:r>
      <w:r w:rsidRPr="00D04EE5">
        <w:t>%.</w:t>
      </w:r>
    </w:p>
    <w:p w14:paraId="52C76E43" w14:textId="70BBCCE9" w:rsidR="00737FBD" w:rsidRDefault="00014916" w:rsidP="00E01C14">
      <w:pPr>
        <w:ind w:left="360"/>
        <w:jc w:val="both"/>
      </w:pPr>
      <w:r w:rsidRPr="00D04EE5">
        <w:t xml:space="preserve">As of [date], approximately </w:t>
      </w:r>
      <w:r w:rsidR="00A1411B">
        <w:t>__</w:t>
      </w:r>
      <w:r w:rsidRPr="00D04EE5">
        <w:t xml:space="preserve">% of the total funds in the Pool were deposited by Voluntary Depositors, such as cities and fire districts, </w:t>
      </w:r>
      <w:r w:rsidR="00A1411B">
        <w:t>__</w:t>
      </w:r>
      <w:r w:rsidRPr="00D04EE5">
        <w:t xml:space="preserve">% by community colleges, </w:t>
      </w:r>
      <w:r w:rsidR="00A1411B">
        <w:t>__</w:t>
      </w:r>
      <w:r w:rsidRPr="00D04EE5">
        <w:t xml:space="preserve">% by the County, </w:t>
      </w:r>
      <w:r w:rsidR="00A1411B">
        <w:t>__</w:t>
      </w:r>
      <w:r w:rsidRPr="00D04EE5">
        <w:t xml:space="preserve">% by the Non-County and </w:t>
      </w:r>
      <w:r w:rsidR="00A1411B">
        <w:t>__</w:t>
      </w:r>
      <w:r w:rsidRPr="00D04EE5">
        <w:t>% by K-12 school districts.</w:t>
      </w:r>
    </w:p>
    <w:p w14:paraId="4FAB1265" w14:textId="77777777" w:rsidR="006D6C5A" w:rsidRPr="006D6C5A" w:rsidRDefault="006D6C5A" w:rsidP="006D6C5A">
      <w:pPr>
        <w:ind w:left="360"/>
        <w:jc w:val="both"/>
      </w:pPr>
      <w:r w:rsidRPr="006D6C5A">
        <w:t>Fitch Ratings maintains ratings of “</w:t>
      </w:r>
      <w:proofErr w:type="spellStart"/>
      <w:r w:rsidRPr="006D6C5A">
        <w:t>AAAf</w:t>
      </w:r>
      <w:proofErr w:type="spellEnd"/>
      <w:r w:rsidRPr="006D6C5A">
        <w:t>” (highest underlying credit quality) and “S1” (very low sensitivity to market risk) on the Pool. The ratings reflect only the view of the rating agency and any explanation of the significance of such ratings may be obtained from such rating agency as follows: Fitch Ratings, Inc., 33 Whitehall Street, New York, New York 10004.</w:t>
      </w:r>
    </w:p>
    <w:p w14:paraId="555F838B" w14:textId="77777777" w:rsidR="002A1463" w:rsidRDefault="002A1463">
      <w:pPr>
        <w:rPr>
          <w:b/>
        </w:rPr>
      </w:pPr>
      <w:r>
        <w:rPr>
          <w:b/>
        </w:rPr>
        <w:br w:type="page"/>
      </w:r>
    </w:p>
    <w:p w14:paraId="52C76E45" w14:textId="6D4A45AA" w:rsidR="00737FBD" w:rsidRDefault="00014916" w:rsidP="00E01C14">
      <w:pPr>
        <w:ind w:left="360"/>
        <w:jc w:val="both"/>
        <w:rPr>
          <w:b/>
        </w:rPr>
      </w:pPr>
      <w:r w:rsidRPr="00D04EE5">
        <w:rPr>
          <w:b/>
        </w:rPr>
        <w:lastRenderedPageBreak/>
        <w:t>Investments of the Treasury Pool</w:t>
      </w:r>
    </w:p>
    <w:p w14:paraId="52C76E46" w14:textId="75777EF2" w:rsidR="00737FBD" w:rsidRDefault="00014916" w:rsidP="00E01C14">
      <w:pPr>
        <w:ind w:left="360"/>
        <w:jc w:val="both"/>
      </w:pPr>
      <w:r w:rsidRPr="00D04EE5">
        <w:t>Authorized Investments:  Investments of the Pool are placed in those securities authorized by various sections of the California Government Code, which include obligations of the United States Treasury, Agencies of the United States Government, local and State bond issues, bankers acceptances, commercial paper of prime quality, certificates of deposit (both collateralized and negotiable), repurchase and reverse repurchase agreements, medium term corporate notes, shares of beneficial interest in diversified management companies (mutual funds), asset backed (including mortgage related)</w:t>
      </w:r>
      <w:r w:rsidR="0017082C">
        <w:t>,</w:t>
      </w:r>
      <w:r w:rsidRPr="00D04EE5">
        <w:t xml:space="preserve"> pass-through securities</w:t>
      </w:r>
      <w:r w:rsidR="0017082C">
        <w:t>, and specific Supranational debt securities</w:t>
      </w:r>
    </w:p>
    <w:p w14:paraId="52C76E49" w14:textId="77777777" w:rsidR="00737FBD" w:rsidRDefault="00014916" w:rsidP="00E01C14">
      <w:pPr>
        <w:ind w:left="360"/>
        <w:jc w:val="both"/>
      </w:pPr>
      <w:r w:rsidRPr="00D04EE5">
        <w:t>Legislation which would modify the currently authorized investments and place restrictions on the ability of municipalities to invest in various securities is considered from time to time by the California State Legislature. At all times, the Pool’s investments will comply with California Government Code and the County’s Investment Policy (the "Investment Policy").</w:t>
      </w:r>
    </w:p>
    <w:p w14:paraId="52C76E4A" w14:textId="3F10756C" w:rsidR="00737FBD" w:rsidRDefault="00014916" w:rsidP="00E01C14">
      <w:pPr>
        <w:ind w:left="360"/>
        <w:jc w:val="both"/>
      </w:pPr>
      <w:r w:rsidRPr="00D04EE5">
        <w:t xml:space="preserve">The Investment Policy currently states the primary goals of the County Treasurer when investing public funds to be as follows: the primary objective is to safeguard the principal of the funds under the County Treasurer's control, the secondary objective is to meet the liquidity needs of the Pool Participants, and the third objective is to achieve an investment return on the funds under the control of the County Treasurer within the parameters of prudent risk management. The Investment Policy contains a </w:t>
      </w:r>
      <w:r w:rsidR="005E27B9">
        <w:t xml:space="preserve">requirement </w:t>
      </w:r>
      <w:r w:rsidRPr="00D04EE5">
        <w:t xml:space="preserve">that </w:t>
      </w:r>
      <w:r w:rsidR="005E27B9">
        <w:t xml:space="preserve">at least </w:t>
      </w:r>
      <w:r w:rsidRPr="00D04EE5">
        <w:t xml:space="preserve">50% of the Pool should be invested in securities maturing in one year or less, with the remainder of the portfolio being invested in debt securities with maturities spread over more than one year to five years. Furthermore, at least 25% of the securities must mature within 90 days. The maximum effective duration for the Pool shall be 1.50 years. </w:t>
      </w:r>
    </w:p>
    <w:p w14:paraId="52C76E4F" w14:textId="77777777" w:rsidR="00737FBD" w:rsidRDefault="00014916" w:rsidP="00E01C14">
      <w:pPr>
        <w:ind w:left="360"/>
        <w:jc w:val="both"/>
        <w:rPr>
          <w:b/>
        </w:rPr>
      </w:pPr>
      <w:r w:rsidRPr="00D04EE5">
        <w:rPr>
          <w:b/>
        </w:rPr>
        <w:t>Certain Information Relating to Pool</w:t>
      </w:r>
    </w:p>
    <w:p w14:paraId="00571B6C" w14:textId="5AEF7D05" w:rsidR="00173BDD" w:rsidRDefault="00014916" w:rsidP="002A1463">
      <w:pPr>
        <w:ind w:left="360"/>
        <w:jc w:val="both"/>
      </w:pPr>
      <w:r w:rsidRPr="00C4640F">
        <w:t xml:space="preserve">The following table [the table can be found at </w:t>
      </w:r>
      <w:r w:rsidR="00F11AC0" w:rsidRPr="00F11AC0">
        <w:t>http://www.sdttc.com/content/ttc/en/treasury/financial-reports.html</w:t>
      </w:r>
      <w:r w:rsidRPr="00C4640F">
        <w:t xml:space="preserve"> on page 3 of the latest report] reflects information with respect to the Pool as of the close of business [date]. As described above, a wide range of investments is authorized by state law. Therefore, there can be no assurances that the investments in the Pool will not vary significantly from the investments described below. In addition, the value of the various investments in the Pool will fluctuate on a daily basis as a result of a multitude of factors, including generally prevailing interest rates and other economic conditions. Therefore, there can be no assurance that the values of the various investments in the Pool will not vary significantly from the values described below. In addition, the values specified in the following table were based upon estimates of market values provided to the County by a third party. Accordingly, there can be no assurance that if these securities had been sold on [date], the Pool necessarily would have received the values</w:t>
      </w:r>
      <w:r w:rsidRPr="00D04EE5">
        <w:t xml:space="preserve"> specified.</w:t>
      </w:r>
      <w:r w:rsidR="00D36BD7">
        <w:t>”</w:t>
      </w:r>
      <w:bookmarkStart w:id="2" w:name="_Toc347760912"/>
    </w:p>
    <w:p w14:paraId="3B4506FD" w14:textId="77777777" w:rsidR="00173BDD" w:rsidRDefault="00173BDD" w:rsidP="002A1463">
      <w:pPr>
        <w:ind w:left="360"/>
        <w:jc w:val="both"/>
      </w:pPr>
    </w:p>
    <w:bookmarkEnd w:id="2"/>
    <w:p w14:paraId="52C76F55" w14:textId="23E7DF30" w:rsidR="00737FBD" w:rsidRDefault="00737FBD" w:rsidP="002A1463">
      <w:pPr>
        <w:pStyle w:val="Heading5"/>
      </w:pPr>
    </w:p>
    <w:sectPr w:rsidR="00737FBD" w:rsidSect="0051530E">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76F5F" w14:textId="77777777" w:rsidR="0040355B" w:rsidRDefault="0040355B" w:rsidP="00C35AF8">
      <w:pPr>
        <w:spacing w:after="0" w:line="240" w:lineRule="auto"/>
      </w:pPr>
      <w:r>
        <w:separator/>
      </w:r>
    </w:p>
  </w:endnote>
  <w:endnote w:type="continuationSeparator" w:id="0">
    <w:p w14:paraId="52C76F60" w14:textId="77777777" w:rsidR="0040355B" w:rsidRDefault="0040355B" w:rsidP="00C3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49" w:type="pct"/>
      <w:tblBorders>
        <w:top w:val="single" w:sz="12" w:space="0" w:color="808080" w:themeColor="background1" w:themeShade="80"/>
        <w:insideH w:val="single" w:sz="12" w:space="0" w:color="808080" w:themeColor="background1" w:themeShade="80"/>
      </w:tblBorders>
      <w:tblLook w:val="04A0" w:firstRow="1" w:lastRow="0" w:firstColumn="1" w:lastColumn="0" w:noHBand="0" w:noVBand="1"/>
    </w:tblPr>
    <w:tblGrid>
      <w:gridCol w:w="1255"/>
      <w:gridCol w:w="8384"/>
    </w:tblGrid>
    <w:tr w:rsidR="0040355B" w14:paraId="52C76F7D" w14:textId="77777777" w:rsidTr="0051530E">
      <w:tc>
        <w:tcPr>
          <w:tcW w:w="1278" w:type="dxa"/>
        </w:tcPr>
        <w:p w14:paraId="52C76F7B" w14:textId="2CDBCE1B" w:rsidR="0040355B" w:rsidRPr="00966492" w:rsidRDefault="0040355B" w:rsidP="00954646">
          <w:pPr>
            <w:pStyle w:val="Footer"/>
            <w:jc w:val="right"/>
            <w:rPr>
              <w:b/>
              <w:color w:val="548DD4" w:themeColor="accent1"/>
              <w:sz w:val="16"/>
              <w:szCs w:val="32"/>
            </w:rPr>
          </w:pPr>
          <w:r w:rsidRPr="00966492">
            <w:rPr>
              <w:sz w:val="16"/>
            </w:rPr>
            <w:fldChar w:fldCharType="begin"/>
          </w:r>
          <w:r w:rsidRPr="00966492">
            <w:rPr>
              <w:sz w:val="16"/>
            </w:rPr>
            <w:instrText xml:space="preserve"> PAGE   \* MERGEFORMAT </w:instrText>
          </w:r>
          <w:r w:rsidRPr="00966492">
            <w:rPr>
              <w:sz w:val="16"/>
            </w:rPr>
            <w:fldChar w:fldCharType="separate"/>
          </w:r>
          <w:r w:rsidR="00F143C7" w:rsidRPr="00F143C7">
            <w:rPr>
              <w:b/>
              <w:noProof/>
              <w:color w:val="548DD4" w:themeColor="accent1"/>
              <w:sz w:val="16"/>
              <w:szCs w:val="32"/>
            </w:rPr>
            <w:t>3</w:t>
          </w:r>
          <w:r w:rsidRPr="00966492">
            <w:rPr>
              <w:sz w:val="16"/>
            </w:rPr>
            <w:fldChar w:fldCharType="end"/>
          </w:r>
        </w:p>
      </w:tc>
      <w:tc>
        <w:tcPr>
          <w:tcW w:w="8583" w:type="dxa"/>
        </w:tcPr>
        <w:p w14:paraId="52C76F7C" w14:textId="541E1167" w:rsidR="0040355B" w:rsidRPr="00966492" w:rsidRDefault="0040355B">
          <w:pPr>
            <w:pStyle w:val="Footer"/>
            <w:jc w:val="right"/>
            <w:rPr>
              <w:i/>
              <w:color w:val="808080" w:themeColor="background2" w:themeShade="80"/>
              <w:sz w:val="16"/>
            </w:rPr>
          </w:pPr>
        </w:p>
      </w:tc>
    </w:tr>
  </w:tbl>
  <w:p w14:paraId="52C76F7E" w14:textId="77777777" w:rsidR="0040355B" w:rsidRDefault="0040355B">
    <w:pPr>
      <w:pStyle w:val="Footer"/>
    </w:pPr>
  </w:p>
  <w:p w14:paraId="52C76F7F" w14:textId="77777777" w:rsidR="0040355B" w:rsidRDefault="004035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76F5D" w14:textId="77777777" w:rsidR="0040355B" w:rsidRDefault="0040355B" w:rsidP="00C35AF8">
      <w:pPr>
        <w:spacing w:after="0" w:line="240" w:lineRule="auto"/>
      </w:pPr>
      <w:r>
        <w:separator/>
      </w:r>
    </w:p>
  </w:footnote>
  <w:footnote w:type="continuationSeparator" w:id="0">
    <w:p w14:paraId="52C76F5E" w14:textId="77777777" w:rsidR="0040355B" w:rsidRDefault="0040355B" w:rsidP="00C35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2495D"/>
    <w:multiLevelType w:val="hybridMultilevel"/>
    <w:tmpl w:val="92AEA440"/>
    <w:lvl w:ilvl="0" w:tplc="585425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C66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2B04E1"/>
    <w:multiLevelType w:val="hybridMultilevel"/>
    <w:tmpl w:val="A37A1CA6"/>
    <w:lvl w:ilvl="0" w:tplc="585425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17E25"/>
    <w:multiLevelType w:val="hybridMultilevel"/>
    <w:tmpl w:val="455C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B2759"/>
    <w:multiLevelType w:val="hybridMultilevel"/>
    <w:tmpl w:val="5688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F1A75"/>
    <w:multiLevelType w:val="hybridMultilevel"/>
    <w:tmpl w:val="41B073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CB4281"/>
    <w:multiLevelType w:val="hybridMultilevel"/>
    <w:tmpl w:val="27985B76"/>
    <w:lvl w:ilvl="0" w:tplc="F6F48D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41B4D"/>
    <w:multiLevelType w:val="hybridMultilevel"/>
    <w:tmpl w:val="3414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4C73D1"/>
    <w:multiLevelType w:val="hybridMultilevel"/>
    <w:tmpl w:val="B44C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A80E6C"/>
    <w:multiLevelType w:val="hybridMultilevel"/>
    <w:tmpl w:val="7BE2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D43DE"/>
    <w:multiLevelType w:val="hybridMultilevel"/>
    <w:tmpl w:val="A7F86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8A024D"/>
    <w:multiLevelType w:val="hybridMultilevel"/>
    <w:tmpl w:val="EFA4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55196"/>
    <w:multiLevelType w:val="hybridMultilevel"/>
    <w:tmpl w:val="6F60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F0615"/>
    <w:multiLevelType w:val="hybridMultilevel"/>
    <w:tmpl w:val="028C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473BD"/>
    <w:multiLevelType w:val="hybridMultilevel"/>
    <w:tmpl w:val="AF3A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05CE8"/>
    <w:multiLevelType w:val="hybridMultilevel"/>
    <w:tmpl w:val="F73A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55A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3673E5"/>
    <w:multiLevelType w:val="hybridMultilevel"/>
    <w:tmpl w:val="CF5EC646"/>
    <w:lvl w:ilvl="0" w:tplc="F068871E">
      <w:start w:val="1"/>
      <w:numFmt w:val="decimal"/>
      <w:lvlText w:val="%1."/>
      <w:lvlJc w:val="left"/>
      <w:pPr>
        <w:tabs>
          <w:tab w:val="num" w:pos="720"/>
        </w:tabs>
        <w:ind w:left="720" w:hanging="360"/>
      </w:pPr>
    </w:lvl>
    <w:lvl w:ilvl="1" w:tplc="2FC40152" w:tentative="1">
      <w:start w:val="1"/>
      <w:numFmt w:val="decimal"/>
      <w:lvlText w:val="%2."/>
      <w:lvlJc w:val="left"/>
      <w:pPr>
        <w:tabs>
          <w:tab w:val="num" w:pos="1440"/>
        </w:tabs>
        <w:ind w:left="1440" w:hanging="360"/>
      </w:pPr>
    </w:lvl>
    <w:lvl w:ilvl="2" w:tplc="1812AD5E" w:tentative="1">
      <w:start w:val="1"/>
      <w:numFmt w:val="decimal"/>
      <w:lvlText w:val="%3."/>
      <w:lvlJc w:val="left"/>
      <w:pPr>
        <w:tabs>
          <w:tab w:val="num" w:pos="2160"/>
        </w:tabs>
        <w:ind w:left="2160" w:hanging="360"/>
      </w:pPr>
    </w:lvl>
    <w:lvl w:ilvl="3" w:tplc="6B367E3C" w:tentative="1">
      <w:start w:val="1"/>
      <w:numFmt w:val="decimal"/>
      <w:lvlText w:val="%4."/>
      <w:lvlJc w:val="left"/>
      <w:pPr>
        <w:tabs>
          <w:tab w:val="num" w:pos="2880"/>
        </w:tabs>
        <w:ind w:left="2880" w:hanging="360"/>
      </w:pPr>
    </w:lvl>
    <w:lvl w:ilvl="4" w:tplc="2460D31C" w:tentative="1">
      <w:start w:val="1"/>
      <w:numFmt w:val="decimal"/>
      <w:lvlText w:val="%5."/>
      <w:lvlJc w:val="left"/>
      <w:pPr>
        <w:tabs>
          <w:tab w:val="num" w:pos="3600"/>
        </w:tabs>
        <w:ind w:left="3600" w:hanging="360"/>
      </w:pPr>
    </w:lvl>
    <w:lvl w:ilvl="5" w:tplc="83C22EEC" w:tentative="1">
      <w:start w:val="1"/>
      <w:numFmt w:val="decimal"/>
      <w:lvlText w:val="%6."/>
      <w:lvlJc w:val="left"/>
      <w:pPr>
        <w:tabs>
          <w:tab w:val="num" w:pos="4320"/>
        </w:tabs>
        <w:ind w:left="4320" w:hanging="360"/>
      </w:pPr>
    </w:lvl>
    <w:lvl w:ilvl="6" w:tplc="959C0A3A" w:tentative="1">
      <w:start w:val="1"/>
      <w:numFmt w:val="decimal"/>
      <w:lvlText w:val="%7."/>
      <w:lvlJc w:val="left"/>
      <w:pPr>
        <w:tabs>
          <w:tab w:val="num" w:pos="5040"/>
        </w:tabs>
        <w:ind w:left="5040" w:hanging="360"/>
      </w:pPr>
    </w:lvl>
    <w:lvl w:ilvl="7" w:tplc="C8CCC894" w:tentative="1">
      <w:start w:val="1"/>
      <w:numFmt w:val="decimal"/>
      <w:lvlText w:val="%8."/>
      <w:lvlJc w:val="left"/>
      <w:pPr>
        <w:tabs>
          <w:tab w:val="num" w:pos="5760"/>
        </w:tabs>
        <w:ind w:left="5760" w:hanging="360"/>
      </w:pPr>
    </w:lvl>
    <w:lvl w:ilvl="8" w:tplc="74E4EFBA" w:tentative="1">
      <w:start w:val="1"/>
      <w:numFmt w:val="decimal"/>
      <w:lvlText w:val="%9."/>
      <w:lvlJc w:val="left"/>
      <w:pPr>
        <w:tabs>
          <w:tab w:val="num" w:pos="6480"/>
        </w:tabs>
        <w:ind w:left="6480" w:hanging="360"/>
      </w:pPr>
    </w:lvl>
  </w:abstractNum>
  <w:abstractNum w:abstractNumId="18" w15:restartNumberingAfterBreak="0">
    <w:nsid w:val="66620616"/>
    <w:multiLevelType w:val="hybridMultilevel"/>
    <w:tmpl w:val="461AADFE"/>
    <w:lvl w:ilvl="0" w:tplc="58483268">
      <w:start w:val="1"/>
      <w:numFmt w:val="upperLetter"/>
      <w:lvlText w:val="Appendix %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0595C"/>
    <w:multiLevelType w:val="hybridMultilevel"/>
    <w:tmpl w:val="D91E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C2AC6"/>
    <w:multiLevelType w:val="hybridMultilevel"/>
    <w:tmpl w:val="4D30B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31D85"/>
    <w:multiLevelType w:val="hybridMultilevel"/>
    <w:tmpl w:val="802E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D30CC"/>
    <w:multiLevelType w:val="hybridMultilevel"/>
    <w:tmpl w:val="8FFA01E2"/>
    <w:lvl w:ilvl="0" w:tplc="585425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F5D69"/>
    <w:multiLevelType w:val="hybridMultilevel"/>
    <w:tmpl w:val="98EC1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9204C"/>
    <w:multiLevelType w:val="hybridMultilevel"/>
    <w:tmpl w:val="757E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A771A"/>
    <w:multiLevelType w:val="hybridMultilevel"/>
    <w:tmpl w:val="EECA51EE"/>
    <w:lvl w:ilvl="0" w:tplc="9B9A02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7"/>
  </w:num>
  <w:num w:numId="4">
    <w:abstractNumId w:val="18"/>
  </w:num>
  <w:num w:numId="5">
    <w:abstractNumId w:val="3"/>
  </w:num>
  <w:num w:numId="6">
    <w:abstractNumId w:val="15"/>
  </w:num>
  <w:num w:numId="7">
    <w:abstractNumId w:val="21"/>
  </w:num>
  <w:num w:numId="8">
    <w:abstractNumId w:val="8"/>
  </w:num>
  <w:num w:numId="9">
    <w:abstractNumId w:val="16"/>
  </w:num>
  <w:num w:numId="10">
    <w:abstractNumId w:val="1"/>
  </w:num>
  <w:num w:numId="11">
    <w:abstractNumId w:val="12"/>
  </w:num>
  <w:num w:numId="12">
    <w:abstractNumId w:val="13"/>
  </w:num>
  <w:num w:numId="13">
    <w:abstractNumId w:val="19"/>
  </w:num>
  <w:num w:numId="14">
    <w:abstractNumId w:val="11"/>
  </w:num>
  <w:num w:numId="15">
    <w:abstractNumId w:val="0"/>
  </w:num>
  <w:num w:numId="16">
    <w:abstractNumId w:val="2"/>
  </w:num>
  <w:num w:numId="17">
    <w:abstractNumId w:val="6"/>
  </w:num>
  <w:num w:numId="18">
    <w:abstractNumId w:val="14"/>
  </w:num>
  <w:num w:numId="19">
    <w:abstractNumId w:val="22"/>
  </w:num>
  <w:num w:numId="20">
    <w:abstractNumId w:val="20"/>
  </w:num>
  <w:num w:numId="21">
    <w:abstractNumId w:val="24"/>
  </w:num>
  <w:num w:numId="22">
    <w:abstractNumId w:val="17"/>
  </w:num>
  <w:num w:numId="23">
    <w:abstractNumId w:val="25"/>
  </w:num>
  <w:num w:numId="24">
    <w:abstractNumId w:val="4"/>
  </w:num>
  <w:num w:numId="25">
    <w:abstractNumId w:val="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CDBF912-5367-4DBD-AF1E-7C99DF138D92}"/>
  </w:docVars>
  <w:rsids>
    <w:rsidRoot w:val="00296CCE"/>
    <w:rsid w:val="00013129"/>
    <w:rsid w:val="00014916"/>
    <w:rsid w:val="00027322"/>
    <w:rsid w:val="000440E2"/>
    <w:rsid w:val="000524BD"/>
    <w:rsid w:val="0005597C"/>
    <w:rsid w:val="0006660D"/>
    <w:rsid w:val="0006750A"/>
    <w:rsid w:val="00085483"/>
    <w:rsid w:val="000A0800"/>
    <w:rsid w:val="000A28FA"/>
    <w:rsid w:val="000A3F79"/>
    <w:rsid w:val="000E4E9A"/>
    <w:rsid w:val="0011231A"/>
    <w:rsid w:val="001212A8"/>
    <w:rsid w:val="00125FD9"/>
    <w:rsid w:val="001273C6"/>
    <w:rsid w:val="00130C8F"/>
    <w:rsid w:val="00133370"/>
    <w:rsid w:val="00142A5E"/>
    <w:rsid w:val="0017082C"/>
    <w:rsid w:val="00172884"/>
    <w:rsid w:val="00173BDD"/>
    <w:rsid w:val="001750BD"/>
    <w:rsid w:val="0018255A"/>
    <w:rsid w:val="0019075E"/>
    <w:rsid w:val="001A04F0"/>
    <w:rsid w:val="001C0DA2"/>
    <w:rsid w:val="001C17FD"/>
    <w:rsid w:val="001C1A99"/>
    <w:rsid w:val="001D2262"/>
    <w:rsid w:val="001D3716"/>
    <w:rsid w:val="001E076A"/>
    <w:rsid w:val="001F602F"/>
    <w:rsid w:val="001F78AE"/>
    <w:rsid w:val="00200ACD"/>
    <w:rsid w:val="002123FD"/>
    <w:rsid w:val="00212E4E"/>
    <w:rsid w:val="00215D14"/>
    <w:rsid w:val="00227230"/>
    <w:rsid w:val="00243430"/>
    <w:rsid w:val="002444D2"/>
    <w:rsid w:val="00251726"/>
    <w:rsid w:val="00254047"/>
    <w:rsid w:val="002814E7"/>
    <w:rsid w:val="00296CCE"/>
    <w:rsid w:val="002A1463"/>
    <w:rsid w:val="002A2032"/>
    <w:rsid w:val="002A2C0E"/>
    <w:rsid w:val="002B2902"/>
    <w:rsid w:val="002B4CF8"/>
    <w:rsid w:val="002B74DF"/>
    <w:rsid w:val="002C7F61"/>
    <w:rsid w:val="002E1F92"/>
    <w:rsid w:val="002E5E85"/>
    <w:rsid w:val="003116EE"/>
    <w:rsid w:val="00315498"/>
    <w:rsid w:val="00317E36"/>
    <w:rsid w:val="00326DF4"/>
    <w:rsid w:val="00341745"/>
    <w:rsid w:val="00341C43"/>
    <w:rsid w:val="00342F4C"/>
    <w:rsid w:val="00343845"/>
    <w:rsid w:val="0034726A"/>
    <w:rsid w:val="00352FD1"/>
    <w:rsid w:val="00354A5A"/>
    <w:rsid w:val="003628DE"/>
    <w:rsid w:val="003A3432"/>
    <w:rsid w:val="003C47A1"/>
    <w:rsid w:val="003C7C13"/>
    <w:rsid w:val="003E24CD"/>
    <w:rsid w:val="003E7B35"/>
    <w:rsid w:val="003F33A8"/>
    <w:rsid w:val="0040355B"/>
    <w:rsid w:val="00404BE2"/>
    <w:rsid w:val="00407FA5"/>
    <w:rsid w:val="00410DC4"/>
    <w:rsid w:val="0042154D"/>
    <w:rsid w:val="0042292A"/>
    <w:rsid w:val="004270D3"/>
    <w:rsid w:val="00432460"/>
    <w:rsid w:val="00454BEF"/>
    <w:rsid w:val="0045558E"/>
    <w:rsid w:val="00494FCE"/>
    <w:rsid w:val="004A22A9"/>
    <w:rsid w:val="004A308C"/>
    <w:rsid w:val="004C19B1"/>
    <w:rsid w:val="004E20EA"/>
    <w:rsid w:val="0051530E"/>
    <w:rsid w:val="00547121"/>
    <w:rsid w:val="00593FBA"/>
    <w:rsid w:val="005954D2"/>
    <w:rsid w:val="005A0564"/>
    <w:rsid w:val="005A3C2F"/>
    <w:rsid w:val="005B6883"/>
    <w:rsid w:val="005C4200"/>
    <w:rsid w:val="005E27B9"/>
    <w:rsid w:val="005F13DD"/>
    <w:rsid w:val="00606623"/>
    <w:rsid w:val="00620277"/>
    <w:rsid w:val="00640104"/>
    <w:rsid w:val="00646C53"/>
    <w:rsid w:val="00654BD0"/>
    <w:rsid w:val="00655B81"/>
    <w:rsid w:val="0065603A"/>
    <w:rsid w:val="0065794E"/>
    <w:rsid w:val="00660107"/>
    <w:rsid w:val="0066361E"/>
    <w:rsid w:val="00666267"/>
    <w:rsid w:val="006804ED"/>
    <w:rsid w:val="006A26CD"/>
    <w:rsid w:val="006A3DD0"/>
    <w:rsid w:val="006A55C3"/>
    <w:rsid w:val="006B6FA0"/>
    <w:rsid w:val="006B7246"/>
    <w:rsid w:val="006D6C5A"/>
    <w:rsid w:val="006F6638"/>
    <w:rsid w:val="00703362"/>
    <w:rsid w:val="007063ED"/>
    <w:rsid w:val="007077F6"/>
    <w:rsid w:val="00710649"/>
    <w:rsid w:val="007128EF"/>
    <w:rsid w:val="00715C83"/>
    <w:rsid w:val="007224F1"/>
    <w:rsid w:val="00730ADE"/>
    <w:rsid w:val="00730E05"/>
    <w:rsid w:val="0073105C"/>
    <w:rsid w:val="00735DB4"/>
    <w:rsid w:val="007377AF"/>
    <w:rsid w:val="00737FBD"/>
    <w:rsid w:val="00741AF9"/>
    <w:rsid w:val="00745239"/>
    <w:rsid w:val="00754FC1"/>
    <w:rsid w:val="00760DD9"/>
    <w:rsid w:val="00773962"/>
    <w:rsid w:val="00794F3B"/>
    <w:rsid w:val="0079631C"/>
    <w:rsid w:val="007D40D9"/>
    <w:rsid w:val="007D6B0C"/>
    <w:rsid w:val="008100A1"/>
    <w:rsid w:val="008472E4"/>
    <w:rsid w:val="00872227"/>
    <w:rsid w:val="008744DC"/>
    <w:rsid w:val="0087630A"/>
    <w:rsid w:val="008933BA"/>
    <w:rsid w:val="008B1EF0"/>
    <w:rsid w:val="008D1C54"/>
    <w:rsid w:val="008D43FF"/>
    <w:rsid w:val="008D4CB0"/>
    <w:rsid w:val="008D6352"/>
    <w:rsid w:val="008F04DE"/>
    <w:rsid w:val="008F2102"/>
    <w:rsid w:val="008F4AD8"/>
    <w:rsid w:val="00900B13"/>
    <w:rsid w:val="00901AD6"/>
    <w:rsid w:val="00902F43"/>
    <w:rsid w:val="00905B99"/>
    <w:rsid w:val="00911954"/>
    <w:rsid w:val="00912D58"/>
    <w:rsid w:val="009143AB"/>
    <w:rsid w:val="0095042E"/>
    <w:rsid w:val="009509B3"/>
    <w:rsid w:val="00951181"/>
    <w:rsid w:val="00954646"/>
    <w:rsid w:val="00961D78"/>
    <w:rsid w:val="00965967"/>
    <w:rsid w:val="00966492"/>
    <w:rsid w:val="00972BC7"/>
    <w:rsid w:val="00983382"/>
    <w:rsid w:val="00991235"/>
    <w:rsid w:val="009A09E1"/>
    <w:rsid w:val="009A1008"/>
    <w:rsid w:val="009A420A"/>
    <w:rsid w:val="009A4971"/>
    <w:rsid w:val="009A7977"/>
    <w:rsid w:val="009B1EC5"/>
    <w:rsid w:val="009B7F20"/>
    <w:rsid w:val="009D0732"/>
    <w:rsid w:val="009D316D"/>
    <w:rsid w:val="009E0DF4"/>
    <w:rsid w:val="009F3D05"/>
    <w:rsid w:val="00A01900"/>
    <w:rsid w:val="00A07E70"/>
    <w:rsid w:val="00A1411B"/>
    <w:rsid w:val="00A23D45"/>
    <w:rsid w:val="00A32287"/>
    <w:rsid w:val="00A34081"/>
    <w:rsid w:val="00A51B81"/>
    <w:rsid w:val="00A56A64"/>
    <w:rsid w:val="00A601BB"/>
    <w:rsid w:val="00A658C4"/>
    <w:rsid w:val="00A678CA"/>
    <w:rsid w:val="00A7055F"/>
    <w:rsid w:val="00A72DAA"/>
    <w:rsid w:val="00A8639C"/>
    <w:rsid w:val="00A91F59"/>
    <w:rsid w:val="00AA7295"/>
    <w:rsid w:val="00AB18DB"/>
    <w:rsid w:val="00AB2262"/>
    <w:rsid w:val="00AC7FB0"/>
    <w:rsid w:val="00AD1293"/>
    <w:rsid w:val="00AD2B0D"/>
    <w:rsid w:val="00AE4D47"/>
    <w:rsid w:val="00B54C01"/>
    <w:rsid w:val="00B64258"/>
    <w:rsid w:val="00B7246C"/>
    <w:rsid w:val="00B749C6"/>
    <w:rsid w:val="00B812CA"/>
    <w:rsid w:val="00B857EA"/>
    <w:rsid w:val="00B90EA9"/>
    <w:rsid w:val="00B954DB"/>
    <w:rsid w:val="00B95F4F"/>
    <w:rsid w:val="00B96460"/>
    <w:rsid w:val="00BA3DC9"/>
    <w:rsid w:val="00BA6636"/>
    <w:rsid w:val="00BB27FB"/>
    <w:rsid w:val="00BF06B7"/>
    <w:rsid w:val="00C121C6"/>
    <w:rsid w:val="00C35AF8"/>
    <w:rsid w:val="00C46009"/>
    <w:rsid w:val="00C4640F"/>
    <w:rsid w:val="00C47ABA"/>
    <w:rsid w:val="00C5369E"/>
    <w:rsid w:val="00C5485F"/>
    <w:rsid w:val="00C56461"/>
    <w:rsid w:val="00C73F17"/>
    <w:rsid w:val="00C86D34"/>
    <w:rsid w:val="00CA1466"/>
    <w:rsid w:val="00CC4706"/>
    <w:rsid w:val="00CD1418"/>
    <w:rsid w:val="00CE7759"/>
    <w:rsid w:val="00D04EE5"/>
    <w:rsid w:val="00D230D6"/>
    <w:rsid w:val="00D34E54"/>
    <w:rsid w:val="00D364E3"/>
    <w:rsid w:val="00D36BD7"/>
    <w:rsid w:val="00D55444"/>
    <w:rsid w:val="00D644BB"/>
    <w:rsid w:val="00D64E07"/>
    <w:rsid w:val="00D82D4B"/>
    <w:rsid w:val="00DB1BBC"/>
    <w:rsid w:val="00DB4350"/>
    <w:rsid w:val="00DE0F47"/>
    <w:rsid w:val="00DE3505"/>
    <w:rsid w:val="00DF237C"/>
    <w:rsid w:val="00E01C14"/>
    <w:rsid w:val="00E14F04"/>
    <w:rsid w:val="00E1797A"/>
    <w:rsid w:val="00E42222"/>
    <w:rsid w:val="00E50B2A"/>
    <w:rsid w:val="00E65C57"/>
    <w:rsid w:val="00E82C76"/>
    <w:rsid w:val="00E92B31"/>
    <w:rsid w:val="00E96FDE"/>
    <w:rsid w:val="00EA01BF"/>
    <w:rsid w:val="00EA4C48"/>
    <w:rsid w:val="00EB0297"/>
    <w:rsid w:val="00EB676E"/>
    <w:rsid w:val="00EC18F8"/>
    <w:rsid w:val="00ED0766"/>
    <w:rsid w:val="00ED0CB0"/>
    <w:rsid w:val="00EE4282"/>
    <w:rsid w:val="00EF3D2E"/>
    <w:rsid w:val="00EF66DA"/>
    <w:rsid w:val="00F11AC0"/>
    <w:rsid w:val="00F143C7"/>
    <w:rsid w:val="00F15A5C"/>
    <w:rsid w:val="00F301D6"/>
    <w:rsid w:val="00F34C2F"/>
    <w:rsid w:val="00F366EB"/>
    <w:rsid w:val="00F46C09"/>
    <w:rsid w:val="00F47F1C"/>
    <w:rsid w:val="00F546F3"/>
    <w:rsid w:val="00F54EB0"/>
    <w:rsid w:val="00F605B0"/>
    <w:rsid w:val="00F647B8"/>
    <w:rsid w:val="00F665F2"/>
    <w:rsid w:val="00F70804"/>
    <w:rsid w:val="00F70B73"/>
    <w:rsid w:val="00F80FE4"/>
    <w:rsid w:val="00FA750F"/>
    <w:rsid w:val="00FB1D80"/>
    <w:rsid w:val="00FE046B"/>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2C76CEB"/>
  <w15:docId w15:val="{1D06D23E-0530-4054-AC93-ED213FA3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CD1418"/>
    <w:pPr>
      <w:outlineLvl w:val="0"/>
    </w:pPr>
    <w:rPr>
      <w:sz w:val="32"/>
    </w:rPr>
  </w:style>
  <w:style w:type="paragraph" w:styleId="Heading2">
    <w:name w:val="heading 2"/>
    <w:basedOn w:val="Normal"/>
    <w:next w:val="Normal"/>
    <w:link w:val="Heading2Char"/>
    <w:uiPriority w:val="9"/>
    <w:unhideWhenUsed/>
    <w:qFormat/>
    <w:rsid w:val="00966492"/>
    <w:pPr>
      <w:keepNext/>
      <w:keepLines/>
      <w:spacing w:before="200" w:after="0"/>
      <w:outlineLvl w:val="1"/>
    </w:pPr>
    <w:rPr>
      <w:rFonts w:asciiTheme="majorHAnsi" w:eastAsiaTheme="majorEastAsia" w:hAnsiTheme="majorHAnsi" w:cstheme="majorBidi"/>
      <w:b/>
      <w:bCs/>
      <w:color w:val="548DD4" w:themeColor="accent1"/>
      <w:sz w:val="26"/>
      <w:szCs w:val="26"/>
    </w:rPr>
  </w:style>
  <w:style w:type="paragraph" w:styleId="Heading3">
    <w:name w:val="heading 3"/>
    <w:basedOn w:val="Normal"/>
    <w:next w:val="Normal"/>
    <w:link w:val="Heading3Char"/>
    <w:uiPriority w:val="9"/>
    <w:unhideWhenUsed/>
    <w:qFormat/>
    <w:rsid w:val="00606623"/>
    <w:pPr>
      <w:keepNext/>
      <w:keepLines/>
      <w:spacing w:before="200" w:after="0"/>
      <w:outlineLvl w:val="2"/>
    </w:pPr>
    <w:rPr>
      <w:rFonts w:asciiTheme="majorHAnsi" w:eastAsiaTheme="majorEastAsia" w:hAnsiTheme="majorHAnsi" w:cstheme="majorBidi"/>
      <w:b/>
      <w:bCs/>
      <w:color w:val="548DD4" w:themeColor="accent1"/>
    </w:rPr>
  </w:style>
  <w:style w:type="paragraph" w:styleId="Heading4">
    <w:name w:val="heading 4"/>
    <w:basedOn w:val="Normal"/>
    <w:next w:val="Normal"/>
    <w:link w:val="Heading4Char"/>
    <w:uiPriority w:val="9"/>
    <w:unhideWhenUsed/>
    <w:qFormat/>
    <w:rsid w:val="005B6883"/>
    <w:pPr>
      <w:keepNext/>
      <w:keepLines/>
      <w:spacing w:before="200" w:after="0"/>
      <w:outlineLvl w:val="3"/>
    </w:pPr>
    <w:rPr>
      <w:rFonts w:asciiTheme="majorHAnsi" w:eastAsiaTheme="majorEastAsia" w:hAnsiTheme="majorHAnsi" w:cstheme="majorBidi"/>
      <w:b/>
      <w:bCs/>
      <w:i/>
      <w:iCs/>
      <w:color w:val="548DD4" w:themeColor="accent1"/>
    </w:rPr>
  </w:style>
  <w:style w:type="paragraph" w:styleId="Heading5">
    <w:name w:val="heading 5"/>
    <w:basedOn w:val="Normal"/>
    <w:next w:val="Normal"/>
    <w:link w:val="Heading5Char"/>
    <w:uiPriority w:val="9"/>
    <w:unhideWhenUsed/>
    <w:qFormat/>
    <w:rsid w:val="005B6883"/>
    <w:pPr>
      <w:keepNext/>
      <w:keepLines/>
      <w:spacing w:before="200" w:after="0"/>
      <w:outlineLvl w:val="4"/>
    </w:pPr>
    <w:rPr>
      <w:rFonts w:asciiTheme="majorHAnsi" w:eastAsiaTheme="majorEastAsia" w:hAnsiTheme="majorHAnsi" w:cstheme="majorBidi"/>
      <w:color w:val="1D4475" w:themeColor="accent1" w:themeShade="7F"/>
    </w:rPr>
  </w:style>
  <w:style w:type="paragraph" w:styleId="Heading7">
    <w:name w:val="heading 7"/>
    <w:basedOn w:val="Normal"/>
    <w:next w:val="Normal"/>
    <w:link w:val="Heading7Char"/>
    <w:uiPriority w:val="9"/>
    <w:semiHidden/>
    <w:unhideWhenUsed/>
    <w:qFormat/>
    <w:rsid w:val="002123FD"/>
    <w:pPr>
      <w:keepNext/>
      <w:keepLines/>
      <w:spacing w:before="200" w:after="0"/>
      <w:outlineLvl w:val="6"/>
    </w:pPr>
    <w:rPr>
      <w:rFonts w:asciiTheme="majorHAnsi" w:eastAsiaTheme="majorEastAsia" w:hAnsiTheme="majorHAnsi" w:cstheme="majorBidi"/>
      <w:i/>
      <w:iCs/>
      <w:color w:val="518BD1"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CCE"/>
    <w:rPr>
      <w:rFonts w:ascii="Tahoma" w:hAnsi="Tahoma" w:cs="Tahoma"/>
      <w:sz w:val="16"/>
      <w:szCs w:val="16"/>
    </w:rPr>
  </w:style>
  <w:style w:type="paragraph" w:styleId="Header">
    <w:name w:val="header"/>
    <w:basedOn w:val="Normal"/>
    <w:link w:val="HeaderChar"/>
    <w:unhideWhenUsed/>
    <w:rsid w:val="00C35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AF8"/>
  </w:style>
  <w:style w:type="paragraph" w:styleId="Footer">
    <w:name w:val="footer"/>
    <w:basedOn w:val="Normal"/>
    <w:link w:val="FooterChar"/>
    <w:uiPriority w:val="99"/>
    <w:unhideWhenUsed/>
    <w:rsid w:val="00C35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AF8"/>
  </w:style>
  <w:style w:type="character" w:customStyle="1" w:styleId="Heading1Char">
    <w:name w:val="Heading 1 Char"/>
    <w:basedOn w:val="DefaultParagraphFont"/>
    <w:link w:val="Heading1"/>
    <w:uiPriority w:val="9"/>
    <w:rsid w:val="00CD1418"/>
    <w:rPr>
      <w:rFonts w:asciiTheme="majorHAnsi" w:eastAsiaTheme="majorEastAsia" w:hAnsiTheme="majorHAnsi" w:cstheme="majorBidi"/>
      <w:color w:val="17365D" w:themeColor="text2" w:themeShade="BF"/>
      <w:spacing w:val="5"/>
      <w:kern w:val="28"/>
      <w:sz w:val="32"/>
      <w:szCs w:val="52"/>
    </w:rPr>
  </w:style>
  <w:style w:type="character" w:customStyle="1" w:styleId="Heading2Char">
    <w:name w:val="Heading 2 Char"/>
    <w:basedOn w:val="DefaultParagraphFont"/>
    <w:link w:val="Heading2"/>
    <w:uiPriority w:val="9"/>
    <w:rsid w:val="00966492"/>
    <w:rPr>
      <w:rFonts w:asciiTheme="majorHAnsi" w:eastAsiaTheme="majorEastAsia" w:hAnsiTheme="majorHAnsi" w:cstheme="majorBidi"/>
      <w:b/>
      <w:bCs/>
      <w:color w:val="548DD4" w:themeColor="accent1"/>
      <w:sz w:val="26"/>
      <w:szCs w:val="26"/>
    </w:rPr>
  </w:style>
  <w:style w:type="paragraph" w:styleId="IntenseQuote">
    <w:name w:val="Intense Quote"/>
    <w:basedOn w:val="Normal"/>
    <w:next w:val="Normal"/>
    <w:link w:val="IntenseQuoteChar"/>
    <w:uiPriority w:val="30"/>
    <w:qFormat/>
    <w:rsid w:val="00606623"/>
    <w:pPr>
      <w:pBdr>
        <w:bottom w:val="single" w:sz="4" w:space="4" w:color="548DD4" w:themeColor="accent1"/>
      </w:pBdr>
      <w:spacing w:before="200" w:after="280"/>
      <w:ind w:left="936" w:right="936"/>
    </w:pPr>
    <w:rPr>
      <w:b/>
      <w:bCs/>
      <w:i/>
      <w:iCs/>
      <w:color w:val="548DD4" w:themeColor="accent1"/>
    </w:rPr>
  </w:style>
  <w:style w:type="character" w:customStyle="1" w:styleId="IntenseQuoteChar">
    <w:name w:val="Intense Quote Char"/>
    <w:basedOn w:val="DefaultParagraphFont"/>
    <w:link w:val="IntenseQuote"/>
    <w:uiPriority w:val="30"/>
    <w:rsid w:val="00606623"/>
    <w:rPr>
      <w:b/>
      <w:bCs/>
      <w:i/>
      <w:iCs/>
      <w:color w:val="548DD4" w:themeColor="accent1"/>
    </w:rPr>
  </w:style>
  <w:style w:type="paragraph" w:styleId="NoSpacing">
    <w:name w:val="No Spacing"/>
    <w:link w:val="NoSpacingChar"/>
    <w:uiPriority w:val="1"/>
    <w:qFormat/>
    <w:rsid w:val="00606623"/>
    <w:pPr>
      <w:spacing w:after="0" w:line="240" w:lineRule="auto"/>
    </w:pPr>
  </w:style>
  <w:style w:type="character" w:customStyle="1" w:styleId="Heading3Char">
    <w:name w:val="Heading 3 Char"/>
    <w:basedOn w:val="DefaultParagraphFont"/>
    <w:link w:val="Heading3"/>
    <w:uiPriority w:val="9"/>
    <w:rsid w:val="00606623"/>
    <w:rPr>
      <w:rFonts w:asciiTheme="majorHAnsi" w:eastAsiaTheme="majorEastAsia" w:hAnsiTheme="majorHAnsi" w:cstheme="majorBidi"/>
      <w:b/>
      <w:bCs/>
      <w:color w:val="548DD4" w:themeColor="accent1"/>
    </w:rPr>
  </w:style>
  <w:style w:type="paragraph" w:styleId="Subtitle">
    <w:name w:val="Subtitle"/>
    <w:basedOn w:val="Normal"/>
    <w:next w:val="Normal"/>
    <w:link w:val="SubtitleChar"/>
    <w:uiPriority w:val="11"/>
    <w:qFormat/>
    <w:rsid w:val="00606623"/>
    <w:pPr>
      <w:numPr>
        <w:ilvl w:val="1"/>
      </w:numPr>
    </w:pPr>
    <w:rPr>
      <w:rFonts w:asciiTheme="majorHAnsi" w:eastAsiaTheme="majorEastAsia" w:hAnsiTheme="majorHAnsi" w:cstheme="majorBidi"/>
      <w:i/>
      <w:iCs/>
      <w:color w:val="548DD4" w:themeColor="accent1"/>
      <w:spacing w:val="15"/>
      <w:sz w:val="24"/>
      <w:szCs w:val="24"/>
    </w:rPr>
  </w:style>
  <w:style w:type="character" w:customStyle="1" w:styleId="SubtitleChar">
    <w:name w:val="Subtitle Char"/>
    <w:basedOn w:val="DefaultParagraphFont"/>
    <w:link w:val="Subtitle"/>
    <w:uiPriority w:val="11"/>
    <w:rsid w:val="00606623"/>
    <w:rPr>
      <w:rFonts w:asciiTheme="majorHAnsi" w:eastAsiaTheme="majorEastAsia" w:hAnsiTheme="majorHAnsi" w:cstheme="majorBidi"/>
      <w:i/>
      <w:iCs/>
      <w:color w:val="548DD4" w:themeColor="accent1"/>
      <w:spacing w:val="15"/>
      <w:sz w:val="24"/>
      <w:szCs w:val="24"/>
    </w:rPr>
  </w:style>
  <w:style w:type="character" w:styleId="SubtleEmphasis">
    <w:name w:val="Subtle Emphasis"/>
    <w:basedOn w:val="DefaultParagraphFont"/>
    <w:uiPriority w:val="19"/>
    <w:qFormat/>
    <w:rsid w:val="00606623"/>
    <w:rPr>
      <w:i/>
      <w:iCs/>
      <w:color w:val="8BB1E1" w:themeColor="text1" w:themeTint="7F"/>
    </w:rPr>
  </w:style>
  <w:style w:type="character" w:styleId="IntenseEmphasis">
    <w:name w:val="Intense Emphasis"/>
    <w:basedOn w:val="DefaultParagraphFont"/>
    <w:uiPriority w:val="21"/>
    <w:qFormat/>
    <w:rsid w:val="00606623"/>
    <w:rPr>
      <w:b/>
      <w:bCs/>
      <w:i/>
      <w:iCs/>
      <w:color w:val="548DD4" w:themeColor="accent1"/>
    </w:rPr>
  </w:style>
  <w:style w:type="paragraph" w:styleId="Title">
    <w:name w:val="Title"/>
    <w:basedOn w:val="Normal"/>
    <w:next w:val="Normal"/>
    <w:link w:val="TitleChar"/>
    <w:uiPriority w:val="10"/>
    <w:qFormat/>
    <w:rsid w:val="00606623"/>
    <w:pPr>
      <w:pBdr>
        <w:bottom w:val="single" w:sz="8" w:space="4" w:color="548DD4"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6623"/>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5B6883"/>
    <w:rPr>
      <w:rFonts w:asciiTheme="majorHAnsi" w:eastAsiaTheme="majorEastAsia" w:hAnsiTheme="majorHAnsi" w:cstheme="majorBidi"/>
      <w:b/>
      <w:bCs/>
      <w:i/>
      <w:iCs/>
      <w:color w:val="548DD4" w:themeColor="accent1"/>
    </w:rPr>
  </w:style>
  <w:style w:type="character" w:customStyle="1" w:styleId="Heading5Char">
    <w:name w:val="Heading 5 Char"/>
    <w:basedOn w:val="DefaultParagraphFont"/>
    <w:link w:val="Heading5"/>
    <w:uiPriority w:val="9"/>
    <w:rsid w:val="005B6883"/>
    <w:rPr>
      <w:rFonts w:asciiTheme="majorHAnsi" w:eastAsiaTheme="majorEastAsia" w:hAnsiTheme="majorHAnsi" w:cstheme="majorBidi"/>
      <w:color w:val="1D4475" w:themeColor="accent1" w:themeShade="7F"/>
    </w:rPr>
  </w:style>
  <w:style w:type="paragraph" w:styleId="ListParagraph">
    <w:name w:val="List Paragraph"/>
    <w:basedOn w:val="Normal"/>
    <w:uiPriority w:val="34"/>
    <w:qFormat/>
    <w:rsid w:val="0005597C"/>
    <w:pPr>
      <w:ind w:left="720"/>
      <w:contextualSpacing/>
    </w:pPr>
  </w:style>
  <w:style w:type="character" w:customStyle="1" w:styleId="Heading7Char">
    <w:name w:val="Heading 7 Char"/>
    <w:basedOn w:val="DefaultParagraphFont"/>
    <w:link w:val="Heading7"/>
    <w:uiPriority w:val="9"/>
    <w:semiHidden/>
    <w:rsid w:val="002123FD"/>
    <w:rPr>
      <w:rFonts w:asciiTheme="majorHAnsi" w:eastAsiaTheme="majorEastAsia" w:hAnsiTheme="majorHAnsi" w:cstheme="majorBidi"/>
      <w:i/>
      <w:iCs/>
      <w:color w:val="518BD1" w:themeColor="text1" w:themeTint="BF"/>
    </w:rPr>
  </w:style>
  <w:style w:type="character" w:styleId="Hyperlink">
    <w:name w:val="Hyperlink"/>
    <w:basedOn w:val="DefaultParagraphFont"/>
    <w:uiPriority w:val="99"/>
    <w:rsid w:val="002123FD"/>
    <w:rPr>
      <w:color w:val="0000FF"/>
      <w:u w:val="single"/>
    </w:rPr>
  </w:style>
  <w:style w:type="character" w:customStyle="1" w:styleId="NoSpacingChar">
    <w:name w:val="No Spacing Char"/>
    <w:basedOn w:val="DefaultParagraphFont"/>
    <w:link w:val="NoSpacing"/>
    <w:uiPriority w:val="1"/>
    <w:rsid w:val="005C4200"/>
  </w:style>
  <w:style w:type="character" w:styleId="CommentReference">
    <w:name w:val="annotation reference"/>
    <w:basedOn w:val="DefaultParagraphFont"/>
    <w:uiPriority w:val="99"/>
    <w:semiHidden/>
    <w:unhideWhenUsed/>
    <w:rsid w:val="00620277"/>
    <w:rPr>
      <w:sz w:val="16"/>
      <w:szCs w:val="16"/>
    </w:rPr>
  </w:style>
  <w:style w:type="paragraph" w:styleId="CommentText">
    <w:name w:val="annotation text"/>
    <w:basedOn w:val="Normal"/>
    <w:link w:val="CommentTextChar"/>
    <w:uiPriority w:val="99"/>
    <w:semiHidden/>
    <w:unhideWhenUsed/>
    <w:rsid w:val="00620277"/>
    <w:pPr>
      <w:spacing w:line="240" w:lineRule="auto"/>
    </w:pPr>
    <w:rPr>
      <w:sz w:val="20"/>
      <w:szCs w:val="20"/>
    </w:rPr>
  </w:style>
  <w:style w:type="character" w:customStyle="1" w:styleId="CommentTextChar">
    <w:name w:val="Comment Text Char"/>
    <w:basedOn w:val="DefaultParagraphFont"/>
    <w:link w:val="CommentText"/>
    <w:uiPriority w:val="99"/>
    <w:semiHidden/>
    <w:rsid w:val="00620277"/>
    <w:rPr>
      <w:sz w:val="20"/>
      <w:szCs w:val="20"/>
    </w:rPr>
  </w:style>
  <w:style w:type="paragraph" w:styleId="CommentSubject">
    <w:name w:val="annotation subject"/>
    <w:basedOn w:val="CommentText"/>
    <w:next w:val="CommentText"/>
    <w:link w:val="CommentSubjectChar"/>
    <w:uiPriority w:val="99"/>
    <w:semiHidden/>
    <w:unhideWhenUsed/>
    <w:rsid w:val="00620277"/>
    <w:rPr>
      <w:b/>
      <w:bCs/>
    </w:rPr>
  </w:style>
  <w:style w:type="character" w:customStyle="1" w:styleId="CommentSubjectChar">
    <w:name w:val="Comment Subject Char"/>
    <w:basedOn w:val="CommentTextChar"/>
    <w:link w:val="CommentSubject"/>
    <w:uiPriority w:val="99"/>
    <w:semiHidden/>
    <w:rsid w:val="00620277"/>
    <w:rPr>
      <w:b/>
      <w:bCs/>
      <w:sz w:val="20"/>
      <w:szCs w:val="20"/>
    </w:rPr>
  </w:style>
  <w:style w:type="character" w:styleId="LineNumber">
    <w:name w:val="line number"/>
    <w:basedOn w:val="DefaultParagraphFont"/>
    <w:uiPriority w:val="99"/>
    <w:semiHidden/>
    <w:unhideWhenUsed/>
    <w:rsid w:val="00341C43"/>
  </w:style>
  <w:style w:type="paragraph" w:styleId="TOCHeading">
    <w:name w:val="TOC Heading"/>
    <w:basedOn w:val="Heading1"/>
    <w:next w:val="Normal"/>
    <w:uiPriority w:val="39"/>
    <w:unhideWhenUsed/>
    <w:qFormat/>
    <w:rsid w:val="0018255A"/>
    <w:pPr>
      <w:outlineLvl w:val="9"/>
    </w:pPr>
    <w:rPr>
      <w:lang w:eastAsia="ja-JP"/>
    </w:rPr>
  </w:style>
  <w:style w:type="paragraph" w:styleId="TOC1">
    <w:name w:val="toc 1"/>
    <w:basedOn w:val="Normal"/>
    <w:next w:val="Normal"/>
    <w:autoRedefine/>
    <w:uiPriority w:val="39"/>
    <w:unhideWhenUsed/>
    <w:rsid w:val="009509B3"/>
    <w:pPr>
      <w:spacing w:after="100"/>
    </w:pPr>
  </w:style>
  <w:style w:type="paragraph" w:styleId="TOC2">
    <w:name w:val="toc 2"/>
    <w:basedOn w:val="Normal"/>
    <w:next w:val="Normal"/>
    <w:autoRedefine/>
    <w:uiPriority w:val="39"/>
    <w:unhideWhenUsed/>
    <w:rsid w:val="009509B3"/>
    <w:pPr>
      <w:spacing w:after="100"/>
      <w:ind w:left="220"/>
    </w:pPr>
  </w:style>
  <w:style w:type="paragraph" w:styleId="TOC3">
    <w:name w:val="toc 3"/>
    <w:basedOn w:val="Normal"/>
    <w:next w:val="Normal"/>
    <w:autoRedefine/>
    <w:uiPriority w:val="39"/>
    <w:unhideWhenUsed/>
    <w:rsid w:val="009509B3"/>
    <w:pPr>
      <w:spacing w:after="100"/>
      <w:ind w:left="440"/>
    </w:pPr>
  </w:style>
  <w:style w:type="paragraph" w:customStyle="1" w:styleId="A0E349F008B644AAB6A282E0D042D17E">
    <w:name w:val="A0E349F008B644AAB6A282E0D042D17E"/>
    <w:rsid w:val="009509B3"/>
    <w:rPr>
      <w:lang w:eastAsia="ja-JP"/>
    </w:rPr>
  </w:style>
  <w:style w:type="table" w:styleId="TableGrid">
    <w:name w:val="Table Grid"/>
    <w:basedOn w:val="TableNormal"/>
    <w:uiPriority w:val="59"/>
    <w:rsid w:val="00CD1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CD1418"/>
    <w:pPr>
      <w:spacing w:after="0" w:line="240" w:lineRule="auto"/>
    </w:pPr>
    <w:rPr>
      <w:color w:val="6C95C7" w:themeColor="accent4" w:themeShade="BF"/>
    </w:rPr>
    <w:tblPr>
      <w:tblStyleRowBandSize w:val="1"/>
      <w:tblStyleColBandSize w:val="1"/>
      <w:tblBorders>
        <w:top w:val="single" w:sz="8" w:space="0" w:color="B8CCE4" w:themeColor="accent4"/>
        <w:bottom w:val="single" w:sz="8" w:space="0" w:color="B8CCE4" w:themeColor="accent4"/>
      </w:tblBorders>
    </w:tblPr>
    <w:tblStylePr w:type="firstRow">
      <w:pPr>
        <w:spacing w:before="0" w:after="0" w:line="240" w:lineRule="auto"/>
      </w:pPr>
      <w:rPr>
        <w:b/>
        <w:bCs/>
      </w:rPr>
      <w:tblPr/>
      <w:tcPr>
        <w:tcBorders>
          <w:top w:val="single" w:sz="8" w:space="0" w:color="B8CCE4" w:themeColor="accent4"/>
          <w:left w:val="nil"/>
          <w:bottom w:val="single" w:sz="8" w:space="0" w:color="B8CCE4" w:themeColor="accent4"/>
          <w:right w:val="nil"/>
          <w:insideH w:val="nil"/>
          <w:insideV w:val="nil"/>
        </w:tcBorders>
      </w:tcPr>
    </w:tblStylePr>
    <w:tblStylePr w:type="lastRow">
      <w:pPr>
        <w:spacing w:before="0" w:after="0" w:line="240" w:lineRule="auto"/>
      </w:pPr>
      <w:rPr>
        <w:b/>
        <w:bCs/>
      </w:rPr>
      <w:tblPr/>
      <w:tcPr>
        <w:tcBorders>
          <w:top w:val="single" w:sz="8" w:space="0" w:color="B8CCE4" w:themeColor="accent4"/>
          <w:left w:val="nil"/>
          <w:bottom w:val="single" w:sz="8" w:space="0" w:color="B8CCE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2F8" w:themeFill="accent4" w:themeFillTint="3F"/>
      </w:tcPr>
    </w:tblStylePr>
    <w:tblStylePr w:type="band1Horz">
      <w:tblPr/>
      <w:tcPr>
        <w:tcBorders>
          <w:left w:val="nil"/>
          <w:right w:val="nil"/>
          <w:insideH w:val="nil"/>
          <w:insideV w:val="nil"/>
        </w:tcBorders>
        <w:shd w:val="clear" w:color="auto" w:fill="EDF2F8" w:themeFill="accent4" w:themeFillTint="3F"/>
      </w:tcPr>
    </w:tblStylePr>
  </w:style>
  <w:style w:type="table" w:styleId="LightShading">
    <w:name w:val="Light Shading"/>
    <w:basedOn w:val="TableNormal"/>
    <w:uiPriority w:val="60"/>
    <w:rsid w:val="0066361E"/>
    <w:pPr>
      <w:spacing w:after="0" w:line="240" w:lineRule="auto"/>
    </w:pPr>
    <w:rPr>
      <w:color w:val="214C81" w:themeColor="text1" w:themeShade="BF"/>
    </w:rPr>
    <w:tblPr>
      <w:tblStyleRowBandSize w:val="1"/>
      <w:tblStyleColBandSize w:val="1"/>
      <w:tblBorders>
        <w:top w:val="single" w:sz="8" w:space="0" w:color="2D67AD" w:themeColor="text1"/>
        <w:bottom w:val="single" w:sz="8" w:space="0" w:color="2D67AD" w:themeColor="text1"/>
      </w:tblBorders>
    </w:tblPr>
    <w:tblStylePr w:type="firstRow">
      <w:pPr>
        <w:spacing w:before="0" w:after="0" w:line="240" w:lineRule="auto"/>
      </w:pPr>
      <w:rPr>
        <w:b/>
        <w:bCs/>
      </w:rPr>
      <w:tblPr/>
      <w:tcPr>
        <w:tcBorders>
          <w:top w:val="single" w:sz="8" w:space="0" w:color="2D67AD" w:themeColor="text1"/>
          <w:left w:val="nil"/>
          <w:bottom w:val="single" w:sz="8" w:space="0" w:color="2D67AD" w:themeColor="text1"/>
          <w:right w:val="nil"/>
          <w:insideH w:val="nil"/>
          <w:insideV w:val="nil"/>
        </w:tcBorders>
      </w:tcPr>
    </w:tblStylePr>
    <w:tblStylePr w:type="lastRow">
      <w:pPr>
        <w:spacing w:before="0" w:after="0" w:line="240" w:lineRule="auto"/>
      </w:pPr>
      <w:rPr>
        <w:b/>
        <w:bCs/>
      </w:rPr>
      <w:tblPr/>
      <w:tcPr>
        <w:tcBorders>
          <w:top w:val="single" w:sz="8" w:space="0" w:color="2D67AD" w:themeColor="text1"/>
          <w:left w:val="nil"/>
          <w:bottom w:val="single" w:sz="8" w:space="0" w:color="2D67A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D8F0" w:themeFill="text1" w:themeFillTint="3F"/>
      </w:tcPr>
    </w:tblStylePr>
    <w:tblStylePr w:type="band1Horz">
      <w:tblPr/>
      <w:tcPr>
        <w:tcBorders>
          <w:left w:val="nil"/>
          <w:right w:val="nil"/>
          <w:insideH w:val="nil"/>
          <w:insideV w:val="nil"/>
        </w:tcBorders>
        <w:shd w:val="clear" w:color="auto" w:fill="C5D8F0" w:themeFill="text1" w:themeFillTint="3F"/>
      </w:tcPr>
    </w:tblStylePr>
  </w:style>
  <w:style w:type="table" w:styleId="LightShading-Accent1">
    <w:name w:val="Light Shading Accent 1"/>
    <w:basedOn w:val="TableNormal"/>
    <w:uiPriority w:val="60"/>
    <w:rsid w:val="0066361E"/>
    <w:pPr>
      <w:spacing w:after="0" w:line="240" w:lineRule="auto"/>
    </w:pPr>
    <w:rPr>
      <w:color w:val="2C67B1" w:themeColor="accent1" w:themeShade="BF"/>
    </w:rPr>
    <w:tblPr>
      <w:tblStyleRowBandSize w:val="1"/>
      <w:tblStyleColBandSize w:val="1"/>
      <w:tblBorders>
        <w:top w:val="single" w:sz="8" w:space="0" w:color="548DD4" w:themeColor="accent1"/>
        <w:bottom w:val="single" w:sz="8" w:space="0" w:color="548DD4" w:themeColor="accent1"/>
      </w:tblBorders>
    </w:tblPr>
    <w:tblStylePr w:type="firstRow">
      <w:pPr>
        <w:spacing w:before="0" w:after="0" w:line="240" w:lineRule="auto"/>
      </w:pPr>
      <w:rPr>
        <w:b/>
        <w:bCs/>
      </w:rPr>
      <w:tblPr/>
      <w:tcPr>
        <w:tcBorders>
          <w:top w:val="single" w:sz="8" w:space="0" w:color="548DD4" w:themeColor="accent1"/>
          <w:left w:val="nil"/>
          <w:bottom w:val="single" w:sz="8" w:space="0" w:color="548DD4" w:themeColor="accent1"/>
          <w:right w:val="nil"/>
          <w:insideH w:val="nil"/>
          <w:insideV w:val="nil"/>
        </w:tcBorders>
      </w:tcPr>
    </w:tblStylePr>
    <w:tblStylePr w:type="lastRow">
      <w:pPr>
        <w:spacing w:before="0" w:after="0" w:line="240" w:lineRule="auto"/>
      </w:pPr>
      <w:rPr>
        <w:b/>
        <w:bCs/>
      </w:rPr>
      <w:tblPr/>
      <w:tcPr>
        <w:tcBorders>
          <w:top w:val="single" w:sz="8" w:space="0" w:color="548DD4" w:themeColor="accent1"/>
          <w:left w:val="nil"/>
          <w:bottom w:val="single" w:sz="8" w:space="0" w:color="548D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2F4" w:themeFill="accent1" w:themeFillTint="3F"/>
      </w:tcPr>
    </w:tblStylePr>
    <w:tblStylePr w:type="band1Horz">
      <w:tblPr/>
      <w:tcPr>
        <w:tcBorders>
          <w:left w:val="nil"/>
          <w:right w:val="nil"/>
          <w:insideH w:val="nil"/>
          <w:insideV w:val="nil"/>
        </w:tcBorders>
        <w:shd w:val="clear" w:color="auto" w:fill="D4E2F4" w:themeFill="accent1" w:themeFillTint="3F"/>
      </w:tcPr>
    </w:tblStylePr>
  </w:style>
  <w:style w:type="paragraph" w:styleId="TOC5">
    <w:name w:val="toc 5"/>
    <w:basedOn w:val="Normal"/>
    <w:next w:val="Normal"/>
    <w:autoRedefine/>
    <w:uiPriority w:val="39"/>
    <w:unhideWhenUsed/>
    <w:rsid w:val="00965967"/>
    <w:pPr>
      <w:spacing w:after="100"/>
      <w:ind w:left="880"/>
    </w:pPr>
  </w:style>
  <w:style w:type="character" w:styleId="HTMLAcronym">
    <w:name w:val="HTML Acronym"/>
    <w:basedOn w:val="DefaultParagraphFont"/>
    <w:uiPriority w:val="99"/>
    <w:semiHidden/>
    <w:unhideWhenUsed/>
    <w:rsid w:val="00251726"/>
  </w:style>
  <w:style w:type="paragraph" w:styleId="BodyTextIndent">
    <w:name w:val="Body Text Indent"/>
    <w:basedOn w:val="Normal"/>
    <w:link w:val="BodyTextIndentChar"/>
    <w:uiPriority w:val="99"/>
    <w:semiHidden/>
    <w:unhideWhenUsed/>
    <w:rsid w:val="002444D2"/>
    <w:pPr>
      <w:spacing w:after="120"/>
      <w:ind w:left="360"/>
    </w:pPr>
  </w:style>
  <w:style w:type="character" w:customStyle="1" w:styleId="BodyTextIndentChar">
    <w:name w:val="Body Text Indent Char"/>
    <w:basedOn w:val="DefaultParagraphFont"/>
    <w:link w:val="BodyTextIndent"/>
    <w:uiPriority w:val="99"/>
    <w:semiHidden/>
    <w:rsid w:val="002444D2"/>
  </w:style>
  <w:style w:type="paragraph" w:styleId="NormalWeb">
    <w:name w:val="Normal (Web)"/>
    <w:basedOn w:val="Normal"/>
    <w:uiPriority w:val="99"/>
    <w:semiHidden/>
    <w:unhideWhenUsed/>
    <w:rsid w:val="00E01C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96">
      <w:bodyDiv w:val="1"/>
      <w:marLeft w:val="0"/>
      <w:marRight w:val="0"/>
      <w:marTop w:val="0"/>
      <w:marBottom w:val="0"/>
      <w:divBdr>
        <w:top w:val="none" w:sz="0" w:space="0" w:color="auto"/>
        <w:left w:val="none" w:sz="0" w:space="0" w:color="auto"/>
        <w:bottom w:val="none" w:sz="0" w:space="0" w:color="auto"/>
        <w:right w:val="none" w:sz="0" w:space="0" w:color="auto"/>
      </w:divBdr>
    </w:div>
    <w:div w:id="970524546">
      <w:bodyDiv w:val="1"/>
      <w:marLeft w:val="0"/>
      <w:marRight w:val="0"/>
      <w:marTop w:val="0"/>
      <w:marBottom w:val="0"/>
      <w:divBdr>
        <w:top w:val="none" w:sz="0" w:space="0" w:color="auto"/>
        <w:left w:val="none" w:sz="0" w:space="0" w:color="auto"/>
        <w:bottom w:val="none" w:sz="0" w:space="0" w:color="auto"/>
        <w:right w:val="none" w:sz="0" w:space="0" w:color="auto"/>
      </w:divBdr>
      <w:divsChild>
        <w:div w:id="1912428986">
          <w:marLeft w:val="547"/>
          <w:marRight w:val="0"/>
          <w:marTop w:val="0"/>
          <w:marBottom w:val="160"/>
          <w:divBdr>
            <w:top w:val="none" w:sz="0" w:space="0" w:color="auto"/>
            <w:left w:val="none" w:sz="0" w:space="0" w:color="auto"/>
            <w:bottom w:val="none" w:sz="0" w:space="0" w:color="auto"/>
            <w:right w:val="none" w:sz="0" w:space="0" w:color="auto"/>
          </w:divBdr>
        </w:div>
        <w:div w:id="640647111">
          <w:marLeft w:val="547"/>
          <w:marRight w:val="0"/>
          <w:marTop w:val="0"/>
          <w:marBottom w:val="160"/>
          <w:divBdr>
            <w:top w:val="none" w:sz="0" w:space="0" w:color="auto"/>
            <w:left w:val="none" w:sz="0" w:space="0" w:color="auto"/>
            <w:bottom w:val="none" w:sz="0" w:space="0" w:color="auto"/>
            <w:right w:val="none" w:sz="0" w:space="0" w:color="auto"/>
          </w:divBdr>
        </w:div>
        <w:div w:id="1156267953">
          <w:marLeft w:val="547"/>
          <w:marRight w:val="0"/>
          <w:marTop w:val="0"/>
          <w:marBottom w:val="160"/>
          <w:divBdr>
            <w:top w:val="none" w:sz="0" w:space="0" w:color="auto"/>
            <w:left w:val="none" w:sz="0" w:space="0" w:color="auto"/>
            <w:bottom w:val="none" w:sz="0" w:space="0" w:color="auto"/>
            <w:right w:val="none" w:sz="0" w:space="0" w:color="auto"/>
          </w:divBdr>
        </w:div>
        <w:div w:id="17702131">
          <w:marLeft w:val="547"/>
          <w:marRight w:val="0"/>
          <w:marTop w:val="0"/>
          <w:marBottom w:val="160"/>
          <w:divBdr>
            <w:top w:val="none" w:sz="0" w:space="0" w:color="auto"/>
            <w:left w:val="none" w:sz="0" w:space="0" w:color="auto"/>
            <w:bottom w:val="none" w:sz="0" w:space="0" w:color="auto"/>
            <w:right w:val="none" w:sz="0" w:space="0" w:color="auto"/>
          </w:divBdr>
        </w:div>
      </w:divsChild>
    </w:div>
    <w:div w:id="1325477992">
      <w:bodyDiv w:val="1"/>
      <w:marLeft w:val="0"/>
      <w:marRight w:val="0"/>
      <w:marTop w:val="0"/>
      <w:marBottom w:val="0"/>
      <w:divBdr>
        <w:top w:val="none" w:sz="0" w:space="0" w:color="auto"/>
        <w:left w:val="none" w:sz="0" w:space="0" w:color="auto"/>
        <w:bottom w:val="none" w:sz="0" w:space="0" w:color="auto"/>
        <w:right w:val="none" w:sz="0" w:space="0" w:color="auto"/>
      </w:divBdr>
    </w:div>
    <w:div w:id="1471480024">
      <w:bodyDiv w:val="1"/>
      <w:marLeft w:val="0"/>
      <w:marRight w:val="0"/>
      <w:marTop w:val="0"/>
      <w:marBottom w:val="0"/>
      <w:divBdr>
        <w:top w:val="none" w:sz="0" w:space="0" w:color="auto"/>
        <w:left w:val="none" w:sz="0" w:space="0" w:color="auto"/>
        <w:bottom w:val="none" w:sz="0" w:space="0" w:color="auto"/>
        <w:right w:val="none" w:sz="0" w:space="0" w:color="auto"/>
      </w:divBdr>
    </w:div>
    <w:div w:id="21176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pect">
  <a:themeElements>
    <a:clrScheme name="COUNTY COLOR SCHEME">
      <a:dk1>
        <a:srgbClr val="2D67AD"/>
      </a:dk1>
      <a:lt1>
        <a:srgbClr val="FFFFFF"/>
      </a:lt1>
      <a:dk2>
        <a:srgbClr val="1F497D"/>
      </a:dk2>
      <a:lt2>
        <a:srgbClr val="FFFFFF"/>
      </a:lt2>
      <a:accent1>
        <a:srgbClr val="548DD4"/>
      </a:accent1>
      <a:accent2>
        <a:srgbClr val="9F7D57"/>
      </a:accent2>
      <a:accent3>
        <a:srgbClr val="FFC000"/>
      </a:accent3>
      <a:accent4>
        <a:srgbClr val="B8CCE4"/>
      </a:accent4>
      <a:accent5>
        <a:srgbClr val="76923C"/>
      </a:accent5>
      <a:accent6>
        <a:srgbClr val="D99694"/>
      </a:accent6>
      <a:hlink>
        <a:srgbClr val="E36C09"/>
      </a:hlink>
      <a:folHlink>
        <a:srgbClr val="F79646"/>
      </a:folHlink>
    </a:clrScheme>
    <a:fontScheme name="County">
      <a:majorFont>
        <a:latin typeface="Cambria"/>
        <a:ea typeface=""/>
        <a:cs typeface=""/>
      </a:majorFont>
      <a:minorFont>
        <a:latin typeface="Calibri Light"/>
        <a:ea typeface=""/>
        <a:cs typeface=""/>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2015-01-06T00:00:00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1338A7AFC96446975C25607CA47A70" ma:contentTypeVersion="1" ma:contentTypeDescription="Create a new document." ma:contentTypeScope="" ma:versionID="8cd2d16af947964be01e4b18905558ce">
  <xsd:schema xmlns:xsd="http://www.w3.org/2001/XMLSchema" xmlns:xs="http://www.w3.org/2001/XMLSchema" xmlns:p="http://schemas.microsoft.com/office/2006/metadata/properties" targetNamespace="http://schemas.microsoft.com/office/2006/metadata/properties" ma:root="true" ma:fieldsID="d9f7329538a7b38edc193660c719dd6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6C89A7-D2B4-433D-929D-B6CFF2062E56}">
  <ds:schemaRef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CE8DE4E-2331-4958-AB14-386450480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13F9B8-7202-49FA-9D93-628142444CE8}">
  <ds:schemaRefs>
    <ds:schemaRef ds:uri="http://schemas.microsoft.com/sharepoint/v3/contenttype/forms"/>
  </ds:schemaRefs>
</ds:datastoreItem>
</file>

<file path=customXml/itemProps5.xml><?xml version="1.0" encoding="utf-8"?>
<ds:datastoreItem xmlns:ds="http://schemas.openxmlformats.org/officeDocument/2006/customXml" ds:itemID="{D90A1475-AB13-4A25-ABC9-01C939CA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COUNTY OF SAN DIEGO</vt:lpstr>
    </vt:vector>
  </TitlesOfParts>
  <Company>The County of San Diego</Company>
  <LinksUpToDate>false</LinksUpToDate>
  <CharactersWithSpaces>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SAN DIEGO</dc:title>
  <dc:subject>School District General Obligation Bond Financing Guidelines</dc:subject>
  <dc:creator>Joan Pan</dc:creator>
  <dc:description/>
  <cp:lastModifiedBy>Urquhart, Cameron</cp:lastModifiedBy>
  <cp:revision>5</cp:revision>
  <cp:lastPrinted>2015-01-07T00:22:00Z</cp:lastPrinted>
  <dcterms:created xsi:type="dcterms:W3CDTF">2018-02-16T20:45:00Z</dcterms:created>
  <dcterms:modified xsi:type="dcterms:W3CDTF">2018-02-22T15:05:00Z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0x010100451338A7AFC96446975C25607CA47A70</vt:lpwstr>
  </property>
</Properties>
</file>